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5FC4C05D"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9D63FF">
        <w:rPr>
          <w:rFonts w:asciiTheme="minorHAnsi" w:hAnsiTheme="minorHAnsi" w:cstheme="minorHAnsi"/>
        </w:rPr>
        <w:t>výběrového</w:t>
      </w:r>
      <w:r w:rsidR="00155F63" w:rsidRPr="0025644A">
        <w:rPr>
          <w:rFonts w:asciiTheme="minorHAnsi" w:hAnsiTheme="minorHAnsi" w:cstheme="minorHAnsi"/>
        </w:rPr>
        <w:t xml:space="preserve">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9D63FF">
        <w:rPr>
          <w:rFonts w:asciiTheme="minorHAnsi" w:hAnsiTheme="minorHAnsi" w:cstheme="minorHAnsi"/>
          <w:b/>
        </w:rPr>
        <w:t>Gama sonda</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31C6EB71" w:rsidR="00C21B88" w:rsidRPr="00F4339A" w:rsidRDefault="00D700BB" w:rsidP="00240D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2429B">
        <w:rPr>
          <w:rFonts w:asciiTheme="minorHAnsi" w:hAnsiTheme="minorHAnsi" w:cstheme="minorHAnsi"/>
        </w:rPr>
        <w:t>jeden kus</w:t>
      </w:r>
      <w:r w:rsidR="008178F9">
        <w:rPr>
          <w:rFonts w:asciiTheme="minorHAnsi" w:hAnsiTheme="minorHAnsi" w:cstheme="minorHAnsi"/>
        </w:rPr>
        <w:t xml:space="preserve"> </w:t>
      </w:r>
      <w:r w:rsidR="009D63FF">
        <w:rPr>
          <w:rFonts w:asciiTheme="minorHAnsi" w:hAnsiTheme="minorHAnsi" w:cstheme="minorHAnsi"/>
        </w:rPr>
        <w:t>Gama sondy</w:t>
      </w:r>
      <w:r w:rsidR="00164864">
        <w:rPr>
          <w:rFonts w:asciiTheme="minorHAnsi" w:hAnsiTheme="minorHAnsi" w:cstheme="minorHAnsi"/>
        </w:rPr>
        <w:t xml:space="preserve"> </w:t>
      </w:r>
      <w:r w:rsidR="00293933">
        <w:rPr>
          <w:rFonts w:asciiTheme="minorHAnsi" w:hAnsiTheme="minorHAnsi" w:cstheme="minorHAnsi"/>
        </w:rPr>
        <w:t>včetně požadovan</w:t>
      </w:r>
      <w:r w:rsidR="009D63FF">
        <w:rPr>
          <w:rFonts w:asciiTheme="minorHAnsi" w:hAnsiTheme="minorHAnsi" w:cstheme="minorHAnsi"/>
        </w:rPr>
        <w:t>ého</w:t>
      </w:r>
      <w:r w:rsidR="00293933">
        <w:rPr>
          <w:rFonts w:asciiTheme="minorHAnsi" w:hAnsiTheme="minorHAnsi" w:cstheme="minorHAnsi"/>
        </w:rPr>
        <w:t xml:space="preserve"> </w:t>
      </w:r>
      <w:r w:rsidR="009D63FF">
        <w:rPr>
          <w:rFonts w:asciiTheme="minorHAnsi" w:hAnsiTheme="minorHAnsi" w:cstheme="minorHAnsi"/>
        </w:rPr>
        <w:t>příslušenství</w:t>
      </w:r>
      <w:r w:rsidR="00293933">
        <w:rPr>
          <w:rFonts w:asciiTheme="minorHAnsi" w:hAnsiTheme="minorHAnsi" w:cstheme="minorHAnsi"/>
        </w:rPr>
        <w:t xml:space="preserve"> typ…………..</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 výrobce…………………………………………………</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77777777"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517A777"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6D3A2202" w:rsidR="008F2D4F" w:rsidRPr="0025644A" w:rsidRDefault="008D718A" w:rsidP="00240D9A">
      <w:pPr>
        <w:numPr>
          <w:ilvl w:val="0"/>
          <w:numId w:val="3"/>
        </w:numPr>
        <w:spacing w:after="0"/>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125D68">
        <w:rPr>
          <w:rFonts w:asciiTheme="minorHAnsi" w:hAnsiTheme="minorHAnsi" w:cstheme="minorHAnsi"/>
        </w:rPr>
        <w:t>jeden kus</w:t>
      </w:r>
      <w:r w:rsidR="00125D68">
        <w:rPr>
          <w:rFonts w:asciiTheme="minorHAnsi" w:hAnsiTheme="minorHAnsi" w:cstheme="minorHAnsi"/>
          <w:i/>
        </w:rPr>
        <w:t xml:space="preserve"> </w:t>
      </w:r>
      <w:r w:rsidR="009D63FF">
        <w:rPr>
          <w:rFonts w:asciiTheme="minorHAnsi" w:hAnsiTheme="minorHAnsi" w:cstheme="minorHAnsi"/>
          <w:i/>
        </w:rPr>
        <w:t>gama sondy včetně požadovaného příslušenství</w:t>
      </w:r>
      <w:r w:rsidR="008178F9">
        <w:rPr>
          <w:rFonts w:asciiTheme="minorHAnsi" w:hAnsiTheme="minorHAnsi" w:cstheme="minorHAnsi"/>
          <w:i/>
        </w:rPr>
        <w:t xml:space="preserve"> </w:t>
      </w:r>
      <w:r w:rsidR="00125D68">
        <w:rPr>
          <w:rFonts w:asciiTheme="minorHAnsi" w:hAnsiTheme="minorHAnsi" w:cstheme="minorHAnsi"/>
          <w:i/>
        </w:rPr>
        <w:t>činí ……………..………………………</w:t>
      </w:r>
      <w:r w:rsidR="00293933">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w:t>
      </w:r>
      <w:r w:rsidRPr="0025644A">
        <w:rPr>
          <w:rFonts w:asciiTheme="minorHAnsi" w:hAnsiTheme="minorHAnsi" w:cstheme="minorHAnsi"/>
        </w:rPr>
        <w:lastRenderedPageBreak/>
        <w:t xml:space="preserve">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037E2717"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 xml:space="preserve">tj. jeden </w:t>
      </w:r>
      <w:r w:rsidR="009D63FF">
        <w:rPr>
          <w:rFonts w:asciiTheme="minorHAnsi" w:hAnsiTheme="minorHAnsi" w:cstheme="minorHAnsi"/>
        </w:rPr>
        <w:t xml:space="preserve">gama sondy </w:t>
      </w:r>
      <w:bookmarkStart w:id="0" w:name="_Hlk133478781"/>
      <w:r w:rsidR="00293933">
        <w:rPr>
          <w:rFonts w:asciiTheme="minorHAnsi" w:hAnsiTheme="minorHAnsi" w:cstheme="minorHAnsi"/>
        </w:rPr>
        <w:t>včetně požadovan</w:t>
      </w:r>
      <w:r w:rsidR="009D63FF">
        <w:rPr>
          <w:rFonts w:asciiTheme="minorHAnsi" w:hAnsiTheme="minorHAnsi" w:cstheme="minorHAnsi"/>
        </w:rPr>
        <w:t>ého příslušenství</w:t>
      </w:r>
      <w:r w:rsidR="008178F9" w:rsidRPr="002F0FC1">
        <w:rPr>
          <w:rFonts w:asciiTheme="minorHAnsi" w:hAnsiTheme="minorHAnsi" w:cstheme="minorHAnsi"/>
          <w:i/>
        </w:rPr>
        <w:t xml:space="preserve"> </w:t>
      </w:r>
      <w:bookmarkEnd w:id="0"/>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Pr="002F0FC1">
        <w:rPr>
          <w:rFonts w:asciiTheme="minorHAnsi" w:hAnsiTheme="minorHAnsi" w:cstheme="minorHAnsi"/>
        </w:rPr>
        <w:t>kupujícího</w:t>
      </w:r>
      <w:r w:rsidR="00A51454" w:rsidRPr="002F0FC1">
        <w:rPr>
          <w:rFonts w:asciiTheme="minorHAnsi" w:hAnsiTheme="minorHAnsi" w:cstheme="minorHAnsi"/>
        </w:rPr>
        <w:t xml:space="preserve"> 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9D63FF">
        <w:rPr>
          <w:rFonts w:asciiTheme="minorHAnsi" w:hAnsiTheme="minorHAnsi" w:cstheme="minorHAnsi"/>
        </w:rPr>
        <w:t>centrálních operačních sálech (COS)</w:t>
      </w:r>
      <w:r w:rsidR="001A1405" w:rsidRPr="002F0FC1">
        <w:rPr>
          <w:rFonts w:asciiTheme="minorHAnsi" w:hAnsiTheme="minorHAnsi" w:cstheme="minorHAnsi"/>
        </w:rPr>
        <w:t>.</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22BA8FFC" w:rsidR="002F0FC1" w:rsidRPr="002F0FC1" w:rsidRDefault="00EA4758" w:rsidP="00240D9A">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w:t>
      </w:r>
      <w:r w:rsidR="00457859" w:rsidRPr="002F0FC1">
        <w:rPr>
          <w:rFonts w:asciiTheme="minorHAnsi" w:hAnsiTheme="minorHAnsi" w:cstheme="minorHAnsi"/>
          <w:u w:val="single"/>
        </w:rPr>
        <w:t xml:space="preserve">oddělení </w:t>
      </w:r>
      <w:r w:rsidR="009D63FF">
        <w:rPr>
          <w:rFonts w:asciiTheme="minorHAnsi" w:hAnsiTheme="minorHAnsi" w:cstheme="minorHAnsi"/>
          <w:u w:val="single"/>
        </w:rPr>
        <w:t>COS</w:t>
      </w:r>
      <w:r w:rsidR="002F0FC1" w:rsidRPr="002F0FC1">
        <w:rPr>
          <w:rFonts w:asciiTheme="minorHAnsi" w:hAnsiTheme="minorHAnsi" w:cstheme="minorHAnsi"/>
          <w:u w:val="single"/>
        </w:rPr>
        <w:t xml:space="preserve"> </w:t>
      </w:r>
    </w:p>
    <w:p w14:paraId="04C7E128" w14:textId="18AE4ED4" w:rsidR="00164864" w:rsidRDefault="0024249B" w:rsidP="00240D9A">
      <w:pPr>
        <w:spacing w:after="0"/>
        <w:ind w:left="284"/>
        <w:jc w:val="both"/>
      </w:pPr>
      <w:r w:rsidRPr="002F0FC1">
        <w:rPr>
          <w:rFonts w:asciiTheme="minorHAnsi" w:hAnsiTheme="minorHAnsi" w:cstheme="minorHAnsi"/>
        </w:rPr>
        <w:t xml:space="preserve">primář MUDr. </w:t>
      </w:r>
      <w:r w:rsidR="009D63FF">
        <w:rPr>
          <w:rFonts w:asciiTheme="minorHAnsi" w:hAnsiTheme="minorHAnsi" w:cstheme="minorHAnsi"/>
        </w:rPr>
        <w:t>Miroslav Kavka, MBA</w:t>
      </w:r>
      <w:r w:rsidR="002F0FC1" w:rsidRPr="002F0FC1">
        <w:rPr>
          <w:rFonts w:asciiTheme="minorHAnsi" w:hAnsiTheme="minorHAnsi" w:cstheme="minorHAnsi"/>
        </w:rPr>
        <w:t>, te</w:t>
      </w:r>
      <w:r w:rsidR="00EA4758" w:rsidRPr="002F0FC1">
        <w:rPr>
          <w:rFonts w:asciiTheme="minorHAnsi" w:hAnsiTheme="minorHAnsi" w:cstheme="minorHAnsi"/>
        </w:rPr>
        <w:t>l. 5</w:t>
      </w:r>
      <w:r w:rsidRPr="002F0FC1">
        <w:rPr>
          <w:rFonts w:asciiTheme="minorHAnsi" w:hAnsiTheme="minorHAnsi" w:cstheme="minorHAnsi"/>
        </w:rPr>
        <w:t xml:space="preserve">15 215 </w:t>
      </w:r>
      <w:r w:rsidR="009D63FF">
        <w:rPr>
          <w:rFonts w:asciiTheme="minorHAnsi" w:hAnsiTheme="minorHAnsi" w:cstheme="minorHAnsi"/>
        </w:rPr>
        <w:t>224</w:t>
      </w:r>
      <w:r w:rsidR="00EA4758" w:rsidRPr="002F0FC1">
        <w:rPr>
          <w:rFonts w:asciiTheme="minorHAnsi" w:hAnsiTheme="minorHAnsi" w:cstheme="minorHAnsi"/>
        </w:rPr>
        <w:t>, email:</w:t>
      </w:r>
      <w:r w:rsidR="001A1405" w:rsidRPr="002F0FC1">
        <w:rPr>
          <w:rFonts w:asciiTheme="minorHAnsi" w:hAnsiTheme="minorHAnsi" w:cstheme="minorHAnsi"/>
        </w:rPr>
        <w:t xml:space="preserve"> </w:t>
      </w:r>
      <w:hyperlink r:id="rId7" w:history="1">
        <w:r w:rsidR="009D63FF" w:rsidRPr="000C0B76">
          <w:rPr>
            <w:rStyle w:val="Hypertextovodkaz"/>
          </w:rPr>
          <w:t>miroslav.kavka@nemzn.cz</w:t>
        </w:r>
      </w:hyperlink>
    </w:p>
    <w:p w14:paraId="6F3F16F7" w14:textId="1F764BD4" w:rsidR="002F0FC1" w:rsidRDefault="00164864" w:rsidP="00240D9A">
      <w:pPr>
        <w:spacing w:after="0"/>
        <w:ind w:left="284"/>
        <w:jc w:val="both"/>
        <w:rPr>
          <w:rFonts w:asciiTheme="minorHAnsi" w:hAnsiTheme="minorHAnsi" w:cstheme="minorHAnsi"/>
          <w:color w:val="FF0000"/>
        </w:rPr>
      </w:pPr>
      <w:r>
        <w:t xml:space="preserve">vrchní sestra </w:t>
      </w:r>
      <w:r w:rsidR="009D63FF">
        <w:t>Mgr. Pavlína Papoušková</w:t>
      </w:r>
      <w:r>
        <w:t>, tel 515 215 </w:t>
      </w:r>
      <w:r w:rsidR="009D63FF">
        <w:t>258</w:t>
      </w:r>
      <w:r>
        <w:t xml:space="preserve">, email: </w:t>
      </w:r>
      <w:hyperlink r:id="rId8" w:history="1">
        <w:r w:rsidR="009D63FF" w:rsidRPr="000C0B76">
          <w:rPr>
            <w:rStyle w:val="Hypertextovodkaz"/>
          </w:rPr>
          <w:t>pavlina.papouskova@nemzn.cz</w:t>
        </w:r>
      </w:hyperlink>
      <w:r>
        <w:t xml:space="preserve"> </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0C46457F" w14:textId="2CF70E38" w:rsidR="002F0FC1" w:rsidRPr="0008462E" w:rsidRDefault="002F0FC1" w:rsidP="00240D9A">
      <w:pPr>
        <w:spacing w:after="0"/>
        <w:ind w:left="284"/>
        <w:jc w:val="both"/>
        <w:rPr>
          <w:rFonts w:asciiTheme="minorHAnsi" w:hAnsiTheme="minorHAnsi" w:cstheme="minorHAnsi"/>
        </w:rPr>
      </w:pPr>
      <w:r w:rsidRPr="0008462E">
        <w:rPr>
          <w:rFonts w:asciiTheme="minorHAnsi" w:hAnsiTheme="minorHAnsi" w:cstheme="minorHAnsi"/>
        </w:rPr>
        <w:t>Miloslav Škandera, tel. 515 215</w:t>
      </w:r>
      <w:r>
        <w:rPr>
          <w:rFonts w:asciiTheme="minorHAnsi" w:hAnsiTheme="minorHAnsi" w:cstheme="minorHAnsi"/>
        </w:rPr>
        <w:t> </w:t>
      </w:r>
      <w:r w:rsidRPr="0008462E">
        <w:rPr>
          <w:rFonts w:asciiTheme="minorHAnsi" w:hAnsiTheme="minorHAnsi" w:cstheme="minorHAnsi"/>
        </w:rPr>
        <w:t>221</w:t>
      </w:r>
      <w:r>
        <w:rPr>
          <w:rFonts w:asciiTheme="minorHAnsi" w:hAnsiTheme="minorHAnsi" w:cstheme="minorHAnsi"/>
        </w:rPr>
        <w:t xml:space="preserve">, email: </w:t>
      </w:r>
      <w:hyperlink r:id="rId9"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79D09CE4" w:rsidR="002B0A71" w:rsidRPr="00135908" w:rsidRDefault="002B0A71"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lastRenderedPageBreak/>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w:t>
      </w:r>
      <w:r w:rsidR="00BE449A" w:rsidRPr="00233037">
        <w:rPr>
          <w:rFonts w:asciiTheme="minorHAnsi" w:hAnsiTheme="minorHAnsi" w:cstheme="minorHAnsi"/>
        </w:rPr>
        <w:lastRenderedPageBreak/>
        <w:t xml:space="preserve">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lastRenderedPageBreak/>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lastRenderedPageBreak/>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29D6A8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5F4C44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0E73C58F"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104DA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7416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981B8" w14:textId="77777777" w:rsidR="0074163C" w:rsidRDefault="0074163C" w:rsidP="00D921A9">
      <w:pPr>
        <w:spacing w:after="0" w:line="240" w:lineRule="auto"/>
      </w:pPr>
      <w:r>
        <w:separator/>
      </w:r>
    </w:p>
  </w:endnote>
  <w:endnote w:type="continuationSeparator" w:id="0">
    <w:p w14:paraId="7FD87440" w14:textId="77777777" w:rsidR="0074163C" w:rsidRDefault="0074163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EAA08" w14:textId="77777777" w:rsidR="0074163C" w:rsidRDefault="0074163C" w:rsidP="00D921A9">
      <w:pPr>
        <w:spacing w:after="0" w:line="240" w:lineRule="auto"/>
      </w:pPr>
      <w:r>
        <w:separator/>
      </w:r>
    </w:p>
  </w:footnote>
  <w:footnote w:type="continuationSeparator" w:id="0">
    <w:p w14:paraId="725D6E6D" w14:textId="77777777" w:rsidR="0074163C" w:rsidRDefault="0074163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6"/>
  </w:num>
  <w:num w:numId="2" w16cid:durableId="1848208431">
    <w:abstractNumId w:val="32"/>
  </w:num>
  <w:num w:numId="3" w16cid:durableId="955136309">
    <w:abstractNumId w:val="28"/>
  </w:num>
  <w:num w:numId="4" w16cid:durableId="682125640">
    <w:abstractNumId w:val="6"/>
  </w:num>
  <w:num w:numId="5" w16cid:durableId="2031486486">
    <w:abstractNumId w:val="9"/>
  </w:num>
  <w:num w:numId="6" w16cid:durableId="57675561">
    <w:abstractNumId w:val="4"/>
  </w:num>
  <w:num w:numId="7" w16cid:durableId="234245915">
    <w:abstractNumId w:val="0"/>
  </w:num>
  <w:num w:numId="8" w16cid:durableId="2087456822">
    <w:abstractNumId w:val="1"/>
  </w:num>
  <w:num w:numId="9" w16cid:durableId="960304860">
    <w:abstractNumId w:val="23"/>
  </w:num>
  <w:num w:numId="10" w16cid:durableId="366027190">
    <w:abstractNumId w:val="30"/>
  </w:num>
  <w:num w:numId="11" w16cid:durableId="849831733">
    <w:abstractNumId w:val="7"/>
  </w:num>
  <w:num w:numId="12" w16cid:durableId="428551180">
    <w:abstractNumId w:val="31"/>
  </w:num>
  <w:num w:numId="13" w16cid:durableId="1631587730">
    <w:abstractNumId w:val="18"/>
  </w:num>
  <w:num w:numId="14" w16cid:durableId="2145194710">
    <w:abstractNumId w:val="13"/>
  </w:num>
  <w:num w:numId="15" w16cid:durableId="2092775448">
    <w:abstractNumId w:val="20"/>
  </w:num>
  <w:num w:numId="16" w16cid:durableId="46688376">
    <w:abstractNumId w:val="19"/>
  </w:num>
  <w:num w:numId="17" w16cid:durableId="1315449935">
    <w:abstractNumId w:val="11"/>
  </w:num>
  <w:num w:numId="18" w16cid:durableId="1942252552">
    <w:abstractNumId w:val="27"/>
  </w:num>
  <w:num w:numId="19" w16cid:durableId="1964799854">
    <w:abstractNumId w:val="33"/>
  </w:num>
  <w:num w:numId="20" w16cid:durableId="1418404143">
    <w:abstractNumId w:val="26"/>
  </w:num>
  <w:num w:numId="21" w16cid:durableId="681856529">
    <w:abstractNumId w:val="5"/>
  </w:num>
  <w:num w:numId="22" w16cid:durableId="751514011">
    <w:abstractNumId w:val="17"/>
  </w:num>
  <w:num w:numId="23" w16cid:durableId="1185437916">
    <w:abstractNumId w:val="10"/>
  </w:num>
  <w:num w:numId="24" w16cid:durableId="1602178100">
    <w:abstractNumId w:val="3"/>
  </w:num>
  <w:num w:numId="25" w16cid:durableId="221790827">
    <w:abstractNumId w:val="15"/>
  </w:num>
  <w:num w:numId="26" w16cid:durableId="111098317">
    <w:abstractNumId w:val="25"/>
  </w:num>
  <w:num w:numId="27" w16cid:durableId="2115710869">
    <w:abstractNumId w:val="24"/>
  </w:num>
  <w:num w:numId="28" w16cid:durableId="2102099957">
    <w:abstractNumId w:val="12"/>
  </w:num>
  <w:num w:numId="29" w16cid:durableId="1387029594">
    <w:abstractNumId w:val="22"/>
  </w:num>
  <w:num w:numId="30" w16cid:durableId="828325242">
    <w:abstractNumId w:val="8"/>
  </w:num>
  <w:num w:numId="31" w16cid:durableId="873688103">
    <w:abstractNumId w:val="29"/>
  </w:num>
  <w:num w:numId="32" w16cid:durableId="571158939">
    <w:abstractNumId w:val="21"/>
  </w:num>
  <w:num w:numId="33" w16cid:durableId="1412047024">
    <w:abstractNumId w:val="2"/>
  </w:num>
  <w:num w:numId="34" w16cid:durableId="7421429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20DDA"/>
    <w:rsid w:val="002272E2"/>
    <w:rsid w:val="00233037"/>
    <w:rsid w:val="00240D9A"/>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163C"/>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296F"/>
    <w:rsid w:val="007E3422"/>
    <w:rsid w:val="007E5888"/>
    <w:rsid w:val="007F3534"/>
    <w:rsid w:val="007F3FF1"/>
    <w:rsid w:val="007F70BA"/>
    <w:rsid w:val="00801B17"/>
    <w:rsid w:val="00804344"/>
    <w:rsid w:val="00811C89"/>
    <w:rsid w:val="008178F9"/>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3FF"/>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ina.papouskova@nemzn.cz" TargetMode="External"/><Relationship Id="rId3" Type="http://schemas.openxmlformats.org/officeDocument/2006/relationships/settings" Target="settings.xml"/><Relationship Id="rId7" Type="http://schemas.openxmlformats.org/officeDocument/2006/relationships/hyperlink" Target="mailto:miroslav.kavk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loslav.skander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10</Pages>
  <Words>3457</Words>
  <Characters>20401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23811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14</cp:revision>
  <cp:lastPrinted>2014-01-14T13:27:00Z</cp:lastPrinted>
  <dcterms:created xsi:type="dcterms:W3CDTF">2022-08-19T13:51:00Z</dcterms:created>
  <dcterms:modified xsi:type="dcterms:W3CDTF">2024-01-25T07:56:00Z</dcterms:modified>
</cp:coreProperties>
</file>